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8"/>
        <w:ind w:left="5103" w:right="-1"/>
        <w:jc w:val="both"/>
        <w:widowControl/>
        <w:tabs>
          <w:tab w:val="left" w:pos="1418" w:leader="none"/>
        </w:tabs>
        <w:rPr>
          <w:sz w:val="24"/>
          <w:szCs w:val="22"/>
        </w:rPr>
        <w:outlineLvl w:val="0"/>
      </w:pPr>
      <w:r>
        <w:rPr>
          <w:sz w:val="24"/>
          <w:szCs w:val="22"/>
        </w:rPr>
        <w:t xml:space="preserve">Приложение 1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58"/>
        <w:ind w:left="5103" w:right="-1"/>
        <w:jc w:val="both"/>
        <w:widowControl/>
        <w:tabs>
          <w:tab w:val="left" w:pos="1418" w:leader="none"/>
        </w:tabs>
        <w:rPr>
          <w:sz w:val="24"/>
          <w:szCs w:val="22"/>
        </w:rPr>
        <w:outlineLvl w:val="0"/>
      </w:pPr>
      <w:r>
        <w:rPr>
          <w:sz w:val="24"/>
          <w:szCs w:val="22"/>
        </w:rPr>
        <w:t xml:space="preserve">к Закону Московской области 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58"/>
        <w:ind w:left="5103" w:right="-1"/>
        <w:jc w:val="both"/>
        <w:widowControl/>
        <w:tabs>
          <w:tab w:val="left" w:pos="1418" w:leader="none"/>
        </w:tabs>
        <w:rPr>
          <w:sz w:val="24"/>
          <w:szCs w:val="22"/>
        </w:rPr>
        <w:outlineLvl w:val="0"/>
      </w:pPr>
      <w:r>
        <w:rPr>
          <w:sz w:val="24"/>
          <w:szCs w:val="22"/>
        </w:rPr>
        <w:t xml:space="preserve">«О внесении изменений в Закон Московской области «О бюджете Территориального фонда обязательного медицинского страхования Московской области на 2025 год и на плановый период 2026 и 2027 годов» 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58"/>
        <w:ind w:left="5103" w:right="-1"/>
        <w:jc w:val="both"/>
        <w:widowControl/>
        <w:tabs>
          <w:tab w:val="left" w:pos="1418" w:leader="none"/>
        </w:tabs>
        <w:rPr>
          <w:sz w:val="24"/>
          <w:szCs w:val="22"/>
        </w:rPr>
        <w:outlineLvl w:val="0"/>
      </w:pPr>
      <w:r>
        <w:rPr>
          <w:sz w:val="24"/>
          <w:szCs w:val="22"/>
        </w:rPr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58"/>
        <w:ind w:left="5103" w:right="-1"/>
        <w:jc w:val="both"/>
        <w:widowControl/>
        <w:tabs>
          <w:tab w:val="left" w:pos="1418" w:leader="none"/>
        </w:tabs>
        <w:rPr>
          <w:sz w:val="24"/>
          <w:szCs w:val="22"/>
        </w:rPr>
        <w:outlineLvl w:val="0"/>
      </w:pPr>
      <w:r>
        <w:rPr>
          <w:sz w:val="24"/>
          <w:szCs w:val="22"/>
        </w:rPr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58"/>
        <w:ind w:left="5103" w:right="-144"/>
        <w:jc w:val="both"/>
        <w:widowControl/>
        <w:rPr>
          <w:sz w:val="24"/>
          <w:szCs w:val="22"/>
        </w:rPr>
        <w:outlineLvl w:val="0"/>
      </w:pPr>
      <w:r>
        <w:rPr>
          <w:sz w:val="24"/>
          <w:szCs w:val="22"/>
        </w:rPr>
        <w:t xml:space="preserve">«</w:t>
      </w:r>
      <w:r>
        <w:rPr>
          <w:sz w:val="24"/>
          <w:szCs w:val="22"/>
        </w:rPr>
        <w:t xml:space="preserve">Приложение </w:t>
      </w:r>
      <w:r>
        <w:rPr>
          <w:sz w:val="24"/>
          <w:szCs w:val="22"/>
        </w:rPr>
        <w:t xml:space="preserve">1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58"/>
        <w:ind w:left="5103" w:right="-144"/>
        <w:jc w:val="both"/>
        <w:widowControl/>
        <w:rPr>
          <w:sz w:val="24"/>
          <w:szCs w:val="22"/>
        </w:rPr>
      </w:pPr>
      <w:r>
        <w:rPr>
          <w:sz w:val="24"/>
          <w:szCs w:val="22"/>
        </w:rPr>
        <w:t xml:space="preserve">к Закону Московской области 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58"/>
        <w:ind w:left="5103" w:right="-1"/>
        <w:jc w:val="both"/>
        <w:widowControl/>
        <w:rPr>
          <w:sz w:val="24"/>
          <w:szCs w:val="22"/>
        </w:rPr>
      </w:pPr>
      <w:r>
        <w:rPr>
          <w:sz w:val="24"/>
          <w:szCs w:val="22"/>
        </w:rPr>
        <w:t xml:space="preserve">«О бюджете Территориального фонда обязательного медицинского страхования Московской области на 20</w:t>
      </w:r>
      <w:r>
        <w:rPr>
          <w:sz w:val="24"/>
          <w:szCs w:val="22"/>
        </w:rPr>
        <w:t xml:space="preserve">2</w:t>
      </w:r>
      <w:r>
        <w:rPr>
          <w:sz w:val="24"/>
          <w:szCs w:val="22"/>
        </w:rPr>
        <w:t xml:space="preserve">5</w:t>
      </w:r>
      <w:r>
        <w:rPr>
          <w:sz w:val="24"/>
          <w:szCs w:val="22"/>
        </w:rPr>
        <w:t xml:space="preserve"> год </w:t>
      </w:r>
      <w:r>
        <w:rPr>
          <w:sz w:val="24"/>
          <w:szCs w:val="22"/>
        </w:rPr>
        <w:br w:type="textWrapping" w:clear="all"/>
      </w:r>
      <w:r>
        <w:rPr>
          <w:sz w:val="24"/>
          <w:szCs w:val="22"/>
        </w:rPr>
        <w:t xml:space="preserve">и на плановый период 202</w:t>
      </w:r>
      <w:r>
        <w:rPr>
          <w:sz w:val="24"/>
          <w:szCs w:val="22"/>
        </w:rPr>
        <w:t xml:space="preserve">6</w:t>
      </w:r>
      <w:r>
        <w:rPr>
          <w:sz w:val="24"/>
          <w:szCs w:val="22"/>
        </w:rPr>
        <w:t xml:space="preserve"> и 202</w:t>
      </w:r>
      <w:r>
        <w:rPr>
          <w:sz w:val="24"/>
          <w:szCs w:val="22"/>
        </w:rPr>
        <w:t xml:space="preserve">7</w:t>
      </w:r>
      <w:r>
        <w:rPr>
          <w:sz w:val="24"/>
          <w:szCs w:val="22"/>
        </w:rPr>
        <w:t xml:space="preserve"> годов» </w:t>
      </w:r>
      <w:r>
        <w:rPr>
          <w:sz w:val="24"/>
          <w:szCs w:val="22"/>
        </w:rPr>
      </w:r>
      <w:r>
        <w:rPr>
          <w:sz w:val="24"/>
          <w:szCs w:val="22"/>
        </w:rPr>
      </w:r>
    </w:p>
    <w:p>
      <w:pPr>
        <w:pStyle w:val="858"/>
        <w:ind w:left="4860" w:right="-257"/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ind w:left="4860" w:right="-257"/>
        <w:jc w:val="both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8"/>
        <w:ind w:left="1418" w:right="1418"/>
        <w:jc w:val="center"/>
        <w:widowControl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Поступления д</w:t>
      </w:r>
      <w:r>
        <w:rPr>
          <w:b/>
          <w:bCs/>
          <w:sz w:val="28"/>
          <w:szCs w:val="28"/>
        </w:rPr>
        <w:t xml:space="preserve">оход</w:t>
      </w:r>
      <w:r>
        <w:rPr>
          <w:b/>
          <w:bCs/>
          <w:sz w:val="28"/>
          <w:szCs w:val="28"/>
        </w:rPr>
        <w:t xml:space="preserve">ов в</w:t>
      </w:r>
      <w:r>
        <w:rPr>
          <w:b/>
          <w:bCs/>
          <w:sz w:val="28"/>
          <w:szCs w:val="28"/>
        </w:rPr>
        <w:t xml:space="preserve"> бюджет </w:t>
      </w:r>
      <w:r>
        <w:rPr>
          <w:b/>
          <w:bCs/>
          <w:sz w:val="28"/>
          <w:szCs w:val="28"/>
        </w:rPr>
        <w:t xml:space="preserve">Территориального фонда обязательного медицинского страхования Московской области на</w:t>
      </w:r>
      <w:r>
        <w:rPr>
          <w:b/>
          <w:bCs/>
          <w:sz w:val="28"/>
          <w:szCs w:val="28"/>
        </w:rPr>
        <w:t xml:space="preserve"> </w:t>
      </w:r>
      <w:r>
        <w:rPr>
          <w:b/>
          <w:bCs/>
          <w:sz w:val="28"/>
          <w:szCs w:val="28"/>
        </w:rPr>
        <w:t xml:space="preserve">20</w:t>
      </w:r>
      <w:r>
        <w:rPr>
          <w:b/>
          <w:bCs/>
          <w:sz w:val="28"/>
          <w:szCs w:val="28"/>
        </w:rPr>
        <w:t xml:space="preserve">2</w:t>
      </w:r>
      <w:r>
        <w:rPr>
          <w:b/>
          <w:bCs/>
          <w:sz w:val="28"/>
          <w:szCs w:val="28"/>
        </w:rPr>
        <w:t xml:space="preserve">5</w:t>
      </w:r>
      <w:r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1418" w:right="1418"/>
        <w:jc w:val="center"/>
        <w:widowControl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tbl>
      <w:tblPr>
        <w:tblW w:w="0" w:type="auto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E0" w:firstRow="1" w:lastRow="1" w:firstColumn="1" w:lastColumn="0" w:noHBand="0" w:noVBand="1"/>
      </w:tblPr>
      <w:tblGrid>
        <w:gridCol w:w="3403"/>
        <w:gridCol w:w="4536"/>
        <w:gridCol w:w="1842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Коды бюджетной классификации Российской Федерации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Наименования доходов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vMerge w:val="restart"/>
            <w:textDirection w:val="lrTb"/>
            <w:noWrap w:val="false"/>
          </w:tcPr>
          <w:p>
            <w:pPr>
              <w:pStyle w:val="858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Сумма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 xml:space="preserve">(тыс. рублей)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</w:tbl>
    <w:p>
      <w:pPr>
        <w:pStyle w:val="858"/>
        <w:rPr>
          <w:vanish/>
          <w:sz w:val="2"/>
        </w:rPr>
      </w:pPr>
      <w:r>
        <w:rPr>
          <w:vanish/>
          <w:sz w:val="2"/>
        </w:rPr>
      </w:r>
      <w:r>
        <w:rPr>
          <w:vanish/>
          <w:sz w:val="2"/>
        </w:rPr>
      </w:r>
      <w:r>
        <w:rPr>
          <w:vanish/>
          <w:sz w:val="2"/>
        </w:rPr>
      </w:r>
    </w:p>
    <w:tbl>
      <w:tblPr>
        <w:tblW w:w="0" w:type="auto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E0" w:firstRow="1" w:lastRow="1" w:firstColumn="1" w:lastColumn="0" w:noHBand="0" w:noVBand="1"/>
      </w:tblPr>
      <w:tblGrid>
        <w:gridCol w:w="3403"/>
        <w:gridCol w:w="4536"/>
        <w:gridCol w:w="18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58"/>
              <w:ind w:right="-108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000 1 00 00000 00 0000 000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58"/>
              <w:widowControl/>
              <w:tabs>
                <w:tab w:val="left" w:pos="567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НАЛОГОВЫЕ И НЕНАЛОГОВЫЕ ДОХОДЫ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858"/>
              <w:widowControl/>
              <w:tabs>
                <w:tab w:val="left" w:pos="567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700 308,8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 xml:space="preserve">000 1 13 00000 00 0000 000</w:t>
            </w:r>
            <w:r>
              <w:rPr>
                <w:bCs/>
                <w:sz w:val="24"/>
                <w:szCs w:val="24"/>
                <w:lang w:val="en-US"/>
              </w:rPr>
            </w:r>
            <w:r>
              <w:rPr>
                <w:bCs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58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ДОХОДЫ ОТ ОКАЗАНИЯ ПЛАТНЫХ УСЛУГ И КОМПЕНСАЦИИ ЗАТРАТ ГОСУДАРСТВА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58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18 736,8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000 1 13 02000 00 0000 130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58"/>
              <w:widowControl/>
              <w:tabs>
                <w:tab w:val="left" w:pos="56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от компенсации затрат государства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58"/>
              <w:widowControl/>
              <w:tabs>
                <w:tab w:val="left" w:pos="56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18 736,8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000 1 13 02990 00 0000 130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58"/>
              <w:widowControl/>
              <w:tabs>
                <w:tab w:val="left" w:pos="56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доходы от компенсации затрат государства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58"/>
              <w:widowControl/>
              <w:tabs>
                <w:tab w:val="left" w:pos="56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18 736,8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 xml:space="preserve">395 1 13 02999 0</w:t>
            </w:r>
            <w:r>
              <w:rPr>
                <w:bCs/>
                <w:sz w:val="24"/>
                <w:szCs w:val="24"/>
              </w:rPr>
              <w:t xml:space="preserve">9</w:t>
            </w:r>
            <w:r>
              <w:rPr>
                <w:bCs/>
                <w:sz w:val="24"/>
                <w:szCs w:val="24"/>
                <w:lang w:val="en-US"/>
              </w:rPr>
              <w:t xml:space="preserve"> 0000 130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58"/>
              <w:widowControl/>
              <w:tabs>
                <w:tab w:val="left" w:pos="56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доходы от компенсации затрат бюджетов территориальных фондов обязательного медицинского страхования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18 736,8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 xml:space="preserve">000</w:t>
            </w:r>
            <w:r>
              <w:rPr>
                <w:bCs/>
                <w:sz w:val="24"/>
                <w:szCs w:val="24"/>
              </w:rPr>
              <w:t xml:space="preserve"> 1 16 00000 00 0000 000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58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ШТРАФЫ, САНКЦИИ, ВОЗМЕЩЕНИЕ УЩЕРБА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58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22 253,2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000 1 16 </w:t>
            </w:r>
            <w:r>
              <w:rPr>
                <w:bCs/>
                <w:sz w:val="24"/>
                <w:szCs w:val="24"/>
              </w:rPr>
              <w:t xml:space="preserve">07</w:t>
            </w:r>
            <w:r>
              <w:rPr>
                <w:bCs/>
                <w:sz w:val="24"/>
                <w:szCs w:val="24"/>
              </w:rPr>
              <w:t xml:space="preserve">000 0</w:t>
            </w:r>
            <w:r>
              <w:rPr>
                <w:bCs/>
                <w:sz w:val="24"/>
                <w:szCs w:val="24"/>
              </w:rPr>
              <w:t xml:space="preserve">0</w:t>
            </w:r>
            <w:r>
              <w:rPr>
                <w:bCs/>
                <w:sz w:val="24"/>
                <w:szCs w:val="24"/>
              </w:rPr>
              <w:t xml:space="preserve"> 0000 140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5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Штрафы, неустойки, пени, уплаченные в соответствии с законом или договором в случае неисполнения или ненадлеж</w:t>
            </w:r>
            <w:r>
              <w:rPr>
                <w:bCs/>
                <w:sz w:val="24"/>
                <w:szCs w:val="24"/>
              </w:rPr>
              <w:t xml:space="preserve">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17 723,2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000 1 16 07010 00 0000 140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5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179,4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395 1 16 07010 09 0000 140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58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179,4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000 1 16 07090 00 0000 140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58"/>
              <w:widowControl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Иные штрафы, неустойки, пени, уплаченные в соответствии с законом </w:t>
            </w:r>
            <w:r>
              <w:rPr>
                <w:bCs/>
                <w:sz w:val="24"/>
                <w:szCs w:val="24"/>
              </w:rPr>
              <w:br w:type="textWrapping" w:clear="all"/>
            </w:r>
            <w:r>
              <w:rPr>
                <w:bCs/>
                <w:sz w:val="24"/>
                <w:szCs w:val="24"/>
              </w:rPr>
              <w:t xml:space="preserve">или договором в случае неисполнения или ненадлежащего исполнения обязательств перед государственным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(муниципальным) органом, казенным учреждением, Центральным банком Российской Федерации, государственной корпорацией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17 543,8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6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395 1 16 07090 09 0000 140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58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17 543,8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6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000 1 16 10000 00 0000 140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58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Платежи в целях возмещения причиненного ущерба (убытков)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4 530,0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5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000 1 16 10100 00 0000 140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58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4 530,0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8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395 1 16 10100 09 0000 140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58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4 530,0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000 1 17 00000 00 0000 000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58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 xml:space="preserve">ПРОЧИЕ НЕНАЛОГОВЫЕ ДОХОДЫ</w:t>
            </w:r>
            <w:r>
              <w:rPr>
                <w:bCs/>
                <w:sz w:val="24"/>
                <w:szCs w:val="24"/>
                <w:lang w:val="en-US"/>
              </w:rPr>
            </w:r>
            <w:r>
              <w:rPr>
                <w:bCs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659 318,8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widowControl/>
              <w:tabs>
                <w:tab w:val="left" w:pos="567" w:leader="none"/>
                <w:tab w:val="left" w:pos="3045" w:leader="none"/>
              </w:tabs>
            </w:pPr>
            <w:r>
              <w:rPr>
                <w:bCs/>
                <w:sz w:val="24"/>
                <w:szCs w:val="24"/>
              </w:rPr>
              <w:t xml:space="preserve">000 1 17 06000 00 0000 180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58"/>
              <w:widowControl/>
              <w:tabs>
                <w:tab w:val="left" w:pos="567" w:leader="none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4"/>
                <w:szCs w:val="24"/>
              </w:rPr>
              <w:t xml:space="preserve">Прочие неналоговые поступления в бюджеты государственных внебюджетных фондов</w:t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 xml:space="preserve">659 318,8</w:t>
            </w:r>
            <w:r>
              <w:rPr>
                <w:bCs/>
                <w:sz w:val="24"/>
                <w:szCs w:val="24"/>
                <w:lang w:val="en-US"/>
              </w:rPr>
            </w:r>
            <w:r>
              <w:rPr>
                <w:bCs/>
                <w:sz w:val="24"/>
                <w:szCs w:val="24"/>
                <w:lang w:val="en-US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5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395 1 17 06040 09 0000 180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58"/>
              <w:widowControl/>
              <w:tabs>
                <w:tab w:val="left" w:pos="56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неналоговые поступления в территориальные фонды обязательного медицинского страхования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659 318,8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  <w:tab w:val="left" w:pos="601" w:leader="none"/>
                <w:tab w:val="left" w:pos="3045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000 2 00 00000 00 0000 000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58"/>
              <w:widowControl/>
              <w:tabs>
                <w:tab w:val="left" w:pos="567" w:leader="none"/>
              </w:tabs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</w:rPr>
              <w:t xml:space="preserve">БЕЗВОЗМЕЗДНЫЕ ПОСТУПЛЕНИЯ</w:t>
            </w:r>
            <w:r>
              <w:rPr>
                <w:b/>
                <w:bCs/>
                <w:sz w:val="24"/>
                <w:szCs w:val="24"/>
                <w:lang w:val="en-US"/>
              </w:rPr>
            </w:r>
            <w:r>
              <w:rPr>
                <w:b/>
                <w:bCs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200 043 980,3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 xml:space="preserve">000 2 02 00000 00 0000 </w:t>
            </w:r>
            <w:r>
              <w:rPr>
                <w:bCs/>
                <w:sz w:val="24"/>
                <w:szCs w:val="24"/>
                <w:lang w:val="en-US"/>
              </w:rPr>
              <w:t xml:space="preserve">000</w:t>
            </w:r>
            <w:r>
              <w:rPr>
                <w:bCs/>
                <w:sz w:val="24"/>
                <w:szCs w:val="24"/>
                <w:lang w:val="en-US"/>
              </w:rPr>
            </w:r>
            <w:r>
              <w:rPr>
                <w:bCs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70"/>
              <w:rPr>
                <w:bCs/>
              </w:rPr>
            </w:pPr>
            <w:r>
              <w:rPr>
                <w:bCs/>
              </w:rPr>
              <w:t xml:space="preserve">БЕЗВОЗМЕЗДНЫЕ ПОСТУПЛЕНИЯ ОТ ДРУГИХ БЮДЖЕТОВ БЮДЖЕТНОЙ СИСТЕМЫ РОССИЙСКОЙ ФЕДЕРАЦИИ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200 043 980,3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000 2 02 </w:t>
            </w:r>
            <w:r>
              <w:rPr>
                <w:bCs/>
                <w:sz w:val="24"/>
                <w:szCs w:val="24"/>
              </w:rPr>
              <w:t xml:space="preserve">50</w:t>
            </w:r>
            <w:r>
              <w:rPr>
                <w:bCs/>
                <w:sz w:val="24"/>
                <w:szCs w:val="24"/>
              </w:rPr>
              <w:t xml:space="preserve">000 00 0000 15</w:t>
            </w:r>
            <w:r>
              <w:rPr>
                <w:bCs/>
                <w:sz w:val="24"/>
                <w:szCs w:val="24"/>
              </w:rPr>
              <w:t xml:space="preserve">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58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Межбюджетные трансферты, передаваемые бюджетам государственных внебюджетных фондов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197 572 453,3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395 2 02 50202 09 0000 150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58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58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Межбюджетные трансферты из бюджетов субъектов Российской Федерации, </w:t>
            </w:r>
            <w:r>
              <w:rPr>
                <w:bCs/>
                <w:sz w:val="24"/>
                <w:szCs w:val="24"/>
              </w:rPr>
              <w:t xml:space="preserve">передаваемые территориальным фондам обязательного медицинского страхования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2 536 593,0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widowControl/>
              <w:tabs>
                <w:tab w:val="left" w:pos="567" w:leader="none"/>
                <w:tab w:val="left" w:pos="3045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395 2 02 50203 09 0000 150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58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Межбюджетные трансферты из бюджетов субъектов Р</w:t>
            </w:r>
            <w:r>
              <w:rPr>
                <w:bCs/>
                <w:sz w:val="24"/>
                <w:szCs w:val="24"/>
              </w:rPr>
              <w:t xml:space="preserve">оссийской Федерации, передаваемые территориальным фондам обязательного медицинского страхования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1 823 294,0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6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395 2 02 55093 09 0000 15</w:t>
            </w:r>
            <w:r>
              <w:rPr>
                <w:bCs/>
                <w:sz w:val="24"/>
                <w:szCs w:val="24"/>
              </w:rPr>
              <w:t xml:space="preserve">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58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179 800 222,5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6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395 2 02 55257 09 0000 150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58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Межбюджетные трансферты, передаваемые бюджетам территориальных фондов обязательного медицинского страхования в целях софинансирования расходов медицинских организаций на оплату труда врачей и среднего медицинского персонала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140 079,7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6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395 2 02 55258 09 0000 150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58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Межбюджетные трансферты, передаваемые бюджетам территориальных фондов обязательн</w:t>
            </w:r>
            <w:r>
              <w:rPr>
                <w:sz w:val="24"/>
                <w:szCs w:val="24"/>
              </w:rPr>
              <w:t xml:space="preserve">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3 827,7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000 2 02 59999 00 0000 150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58"/>
              <w:widowControl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Прочие межбюджетные трансферты, передаваемые бюджетам государственных внебюджетных фондов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13 268 436,4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395 2 02 59999 09 0000 15</w:t>
            </w:r>
            <w:r>
              <w:rPr>
                <w:bCs/>
                <w:sz w:val="24"/>
                <w:szCs w:val="24"/>
              </w:rPr>
              <w:t xml:space="preserve">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58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Прочие межбюджетные трансферты, передаваемые бюджетам территориальных фондов обязательного медицинского страхования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13 268 436,4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 xml:space="preserve">000</w:t>
            </w:r>
            <w:r>
              <w:rPr>
                <w:bCs/>
                <w:sz w:val="24"/>
                <w:szCs w:val="24"/>
              </w:rPr>
              <w:t xml:space="preserve"> 2 02 </w:t>
            </w:r>
            <w:r>
              <w:rPr>
                <w:bCs/>
                <w:sz w:val="24"/>
                <w:szCs w:val="24"/>
                <w:lang w:val="en-US"/>
              </w:rPr>
              <w:t xml:space="preserve">9</w:t>
            </w:r>
            <w:r>
              <w:rPr>
                <w:bCs/>
                <w:sz w:val="24"/>
                <w:szCs w:val="24"/>
              </w:rPr>
              <w:t xml:space="preserve">0</w:t>
            </w:r>
            <w:r>
              <w:rPr>
                <w:bCs/>
                <w:sz w:val="24"/>
                <w:szCs w:val="24"/>
                <w:lang w:val="en-US"/>
              </w:rPr>
              <w:t xml:space="preserve">000</w:t>
            </w:r>
            <w:r>
              <w:rPr>
                <w:bCs/>
                <w:sz w:val="24"/>
                <w:szCs w:val="24"/>
              </w:rPr>
              <w:t xml:space="preserve"> 0</w:t>
            </w:r>
            <w:r>
              <w:rPr>
                <w:bCs/>
                <w:sz w:val="24"/>
                <w:szCs w:val="24"/>
              </w:rPr>
              <w:t xml:space="preserve">0</w:t>
            </w:r>
            <w:r>
              <w:rPr>
                <w:bCs/>
                <w:sz w:val="24"/>
                <w:szCs w:val="24"/>
              </w:rPr>
              <w:t xml:space="preserve"> 0000 15</w:t>
            </w:r>
            <w:r>
              <w:rPr>
                <w:bCs/>
                <w:sz w:val="24"/>
                <w:szCs w:val="24"/>
              </w:rPr>
              <w:t xml:space="preserve">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58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Прочие безвозмездные поступления </w:t>
              <w:br w:type="textWrapping" w:clear="all"/>
              <w:t xml:space="preserve">от других бюджетов бюджетной системы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2 471 527,0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000 2 02 90020 00 0000 150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58"/>
              <w:widowControl/>
              <w:rPr>
                <w:bC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Прочие безвозмездные поступления от бюджетов субъектов Российской Федерации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2 471 527,0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6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395 2 02 90029 09 0000 15</w:t>
            </w:r>
            <w:r>
              <w:rPr>
                <w:bCs/>
                <w:sz w:val="24"/>
                <w:szCs w:val="24"/>
              </w:rPr>
              <w:t xml:space="preserve">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58"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Прочие безвозмездные поступления </w:t>
              <w:br w:type="textWrapping" w:clear="all"/>
              <w:t xml:space="preserve">в территориальные фонды обязательного медицинского страхования от бюджетов субъектов Российской Федерации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58"/>
              <w:jc w:val="center"/>
              <w:widowControl/>
              <w:tabs>
                <w:tab w:val="left" w:pos="567" w:leader="none"/>
              </w:tabs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2 471 527,0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3" w:type="dxa"/>
            <w:vAlign w:val="top"/>
            <w:textDirection w:val="lrTb"/>
            <w:noWrap w:val="false"/>
          </w:tcPr>
          <w:p>
            <w:pPr>
              <w:pStyle w:val="858"/>
              <w:ind w:right="-108"/>
              <w:jc w:val="center"/>
              <w:widowControl/>
              <w:tabs>
                <w:tab w:val="left" w:pos="567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58"/>
              <w:ind w:right="-108"/>
              <w:widowControl/>
              <w:tabs>
                <w:tab w:val="left" w:pos="567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ВСЕГО ДОХОДОВ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vAlign w:val="top"/>
            <w:textDirection w:val="lrTb"/>
            <w:noWrap w:val="false"/>
          </w:tcPr>
          <w:p>
            <w:pPr>
              <w:pStyle w:val="858"/>
              <w:ind w:right="34"/>
              <w:jc w:val="center"/>
              <w:widowControl/>
              <w:tabs>
                <w:tab w:val="left" w:pos="567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200 744 289,1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</w:tbl>
    <w:p>
      <w:pPr>
        <w:pStyle w:val="858"/>
        <w:ind w:right="-144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».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Tahoma">
    <w:panose1 w:val="020B0604030504040204"/>
  </w:font>
  <w:font w:name="Calibri Light">
    <w:panose1 w:val="020F03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4"/>
      <w:rPr>
        <w:rStyle w:val="865"/>
      </w:rPr>
      <w:framePr w:vAnchor="text" w:hAnchor="margin" w:xAlign="center" w:y="1"/>
    </w:pPr>
    <w:r>
      <w:rPr>
        <w:rStyle w:val="865"/>
      </w:rPr>
      <w:fldChar w:fldCharType="begin"/>
    </w:r>
    <w:r>
      <w:rPr>
        <w:rStyle w:val="865"/>
      </w:rPr>
      <w:instrText xml:space="preserve">PAGE  </w:instrText>
    </w:r>
    <w:r>
      <w:rPr>
        <w:rStyle w:val="865"/>
      </w:rPr>
      <w:fldChar w:fldCharType="separate"/>
    </w:r>
    <w:r>
      <w:rPr>
        <w:rStyle w:val="865"/>
      </w:rPr>
      <w:t xml:space="preserve">2</w:t>
    </w:r>
    <w:r>
      <w:rPr>
        <w:rStyle w:val="865"/>
      </w:rPr>
      <w:fldChar w:fldCharType="end"/>
    </w:r>
    <w:r>
      <w:rPr>
        <w:rStyle w:val="865"/>
      </w:rPr>
    </w:r>
    <w:r>
      <w:rPr>
        <w:rStyle w:val="865"/>
      </w:rPr>
    </w:r>
  </w:p>
  <w:p>
    <w:pPr>
      <w:pStyle w:val="864"/>
      <w:rPr>
        <w:rStyle w:val="865"/>
      </w:rPr>
      <w:framePr w:vAnchor="text" w:hAnchor="page" w:x="6382" w:y="1"/>
    </w:pPr>
    <w:r>
      <w:rPr>
        <w:rStyle w:val="865"/>
      </w:rPr>
    </w:r>
    <w:r>
      <w:rPr>
        <w:rStyle w:val="865"/>
      </w:rPr>
    </w:r>
    <w:r>
      <w:rPr>
        <w:rStyle w:val="865"/>
      </w:rPr>
    </w:r>
  </w:p>
  <w:p>
    <w:pPr>
      <w:pStyle w:val="864"/>
      <w:jc w:val="center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>
    <w:name w:val="Heading 1"/>
    <w:basedOn w:val="858"/>
    <w:next w:val="858"/>
    <w:link w:val="6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1">
    <w:name w:val="Heading 1 Char"/>
    <w:link w:val="680"/>
    <w:uiPriority w:val="9"/>
    <w:rPr>
      <w:rFonts w:ascii="Arial" w:hAnsi="Arial" w:eastAsia="Arial" w:cs="Arial"/>
      <w:sz w:val="40"/>
      <w:szCs w:val="40"/>
    </w:rPr>
  </w:style>
  <w:style w:type="paragraph" w:styleId="682">
    <w:name w:val="Heading 2"/>
    <w:basedOn w:val="858"/>
    <w:next w:val="858"/>
    <w:link w:val="6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3">
    <w:name w:val="Heading 2 Char"/>
    <w:link w:val="682"/>
    <w:uiPriority w:val="9"/>
    <w:rPr>
      <w:rFonts w:ascii="Arial" w:hAnsi="Arial" w:eastAsia="Arial" w:cs="Arial"/>
      <w:sz w:val="34"/>
    </w:rPr>
  </w:style>
  <w:style w:type="paragraph" w:styleId="684">
    <w:name w:val="Heading 3"/>
    <w:basedOn w:val="858"/>
    <w:next w:val="858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5">
    <w:name w:val="Heading 3 Char"/>
    <w:link w:val="684"/>
    <w:uiPriority w:val="9"/>
    <w:rPr>
      <w:rFonts w:ascii="Arial" w:hAnsi="Arial" w:eastAsia="Arial" w:cs="Arial"/>
      <w:sz w:val="30"/>
      <w:szCs w:val="30"/>
    </w:rPr>
  </w:style>
  <w:style w:type="paragraph" w:styleId="686">
    <w:name w:val="Heading 4"/>
    <w:basedOn w:val="858"/>
    <w:next w:val="858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7">
    <w:name w:val="Heading 4 Char"/>
    <w:link w:val="686"/>
    <w:uiPriority w:val="9"/>
    <w:rPr>
      <w:rFonts w:ascii="Arial" w:hAnsi="Arial" w:eastAsia="Arial" w:cs="Arial"/>
      <w:b/>
      <w:bCs/>
      <w:sz w:val="26"/>
      <w:szCs w:val="26"/>
    </w:rPr>
  </w:style>
  <w:style w:type="paragraph" w:styleId="688">
    <w:name w:val="Heading 5"/>
    <w:basedOn w:val="858"/>
    <w:next w:val="858"/>
    <w:link w:val="6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9">
    <w:name w:val="Heading 5 Char"/>
    <w:link w:val="688"/>
    <w:uiPriority w:val="9"/>
    <w:rPr>
      <w:rFonts w:ascii="Arial" w:hAnsi="Arial" w:eastAsia="Arial" w:cs="Arial"/>
      <w:b/>
      <w:bCs/>
      <w:sz w:val="24"/>
      <w:szCs w:val="24"/>
    </w:rPr>
  </w:style>
  <w:style w:type="paragraph" w:styleId="690">
    <w:name w:val="Heading 6"/>
    <w:basedOn w:val="858"/>
    <w:next w:val="858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1">
    <w:name w:val="Heading 6 Char"/>
    <w:link w:val="690"/>
    <w:uiPriority w:val="9"/>
    <w:rPr>
      <w:rFonts w:ascii="Arial" w:hAnsi="Arial" w:eastAsia="Arial" w:cs="Arial"/>
      <w:b/>
      <w:bCs/>
      <w:sz w:val="22"/>
      <w:szCs w:val="22"/>
    </w:rPr>
  </w:style>
  <w:style w:type="paragraph" w:styleId="692">
    <w:name w:val="Heading 7"/>
    <w:basedOn w:val="858"/>
    <w:next w:val="858"/>
    <w:link w:val="6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7 Char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4">
    <w:name w:val="Heading 8"/>
    <w:basedOn w:val="858"/>
    <w:next w:val="858"/>
    <w:link w:val="6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5">
    <w:name w:val="Heading 8 Char"/>
    <w:link w:val="694"/>
    <w:uiPriority w:val="9"/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858"/>
    <w:next w:val="858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>
    <w:name w:val="Heading 9 Char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698">
    <w:name w:val="List Paragraph"/>
    <w:basedOn w:val="858"/>
    <w:uiPriority w:val="34"/>
    <w:qFormat/>
    <w:pPr>
      <w:contextualSpacing/>
      <w:ind w:left="720"/>
    </w:pPr>
  </w:style>
  <w:style w:type="paragraph" w:styleId="699">
    <w:name w:val="No Spacing"/>
    <w:uiPriority w:val="1"/>
    <w:qFormat/>
    <w:pPr>
      <w:spacing w:before="0" w:after="0" w:line="240" w:lineRule="auto"/>
    </w:pPr>
  </w:style>
  <w:style w:type="paragraph" w:styleId="700">
    <w:name w:val="Title"/>
    <w:basedOn w:val="858"/>
    <w:next w:val="858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>
    <w:name w:val="Title Char"/>
    <w:link w:val="700"/>
    <w:uiPriority w:val="10"/>
    <w:rPr>
      <w:sz w:val="48"/>
      <w:szCs w:val="48"/>
    </w:rPr>
  </w:style>
  <w:style w:type="paragraph" w:styleId="702">
    <w:name w:val="Subtitle"/>
    <w:basedOn w:val="858"/>
    <w:next w:val="858"/>
    <w:link w:val="703"/>
    <w:uiPriority w:val="11"/>
    <w:qFormat/>
    <w:pPr>
      <w:spacing w:before="200" w:after="200"/>
    </w:pPr>
    <w:rPr>
      <w:sz w:val="24"/>
      <w:szCs w:val="24"/>
    </w:rPr>
  </w:style>
  <w:style w:type="character" w:styleId="703">
    <w:name w:val="Subtitle Char"/>
    <w:link w:val="702"/>
    <w:uiPriority w:val="11"/>
    <w:rPr>
      <w:sz w:val="24"/>
      <w:szCs w:val="24"/>
    </w:rPr>
  </w:style>
  <w:style w:type="paragraph" w:styleId="704">
    <w:name w:val="Quote"/>
    <w:basedOn w:val="858"/>
    <w:next w:val="858"/>
    <w:link w:val="705"/>
    <w:uiPriority w:val="29"/>
    <w:qFormat/>
    <w:pPr>
      <w:ind w:left="720" w:right="720"/>
    </w:pPr>
    <w:rPr>
      <w:i/>
    </w:rPr>
  </w:style>
  <w:style w:type="character" w:styleId="705">
    <w:name w:val="Quote Char"/>
    <w:link w:val="704"/>
    <w:uiPriority w:val="29"/>
    <w:rPr>
      <w:i/>
    </w:rPr>
  </w:style>
  <w:style w:type="paragraph" w:styleId="706">
    <w:name w:val="Intense Quote"/>
    <w:basedOn w:val="858"/>
    <w:next w:val="858"/>
    <w:link w:val="7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>
    <w:name w:val="Intense Quote Char"/>
    <w:link w:val="706"/>
    <w:uiPriority w:val="30"/>
    <w:rPr>
      <w:i/>
    </w:rPr>
  </w:style>
  <w:style w:type="paragraph" w:styleId="708">
    <w:name w:val="Header"/>
    <w:basedOn w:val="858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Header Char"/>
    <w:link w:val="708"/>
    <w:uiPriority w:val="99"/>
  </w:style>
  <w:style w:type="paragraph" w:styleId="710">
    <w:name w:val="Footer"/>
    <w:basedOn w:val="858"/>
    <w:link w:val="7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1">
    <w:name w:val="Footer Char"/>
    <w:link w:val="710"/>
    <w:uiPriority w:val="99"/>
  </w:style>
  <w:style w:type="paragraph" w:styleId="712">
    <w:name w:val="Caption"/>
    <w:basedOn w:val="858"/>
    <w:next w:val="858"/>
    <w:link w:val="71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3">
    <w:name w:val="Caption Char"/>
    <w:link w:val="712"/>
    <w:uiPriority w:val="35"/>
    <w:rPr>
      <w:b/>
      <w:bCs/>
      <w:color w:val="4f81bd" w:themeColor="accent1"/>
      <w:sz w:val="18"/>
      <w:szCs w:val="18"/>
    </w:rPr>
  </w:style>
  <w:style w:type="table" w:styleId="71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0">
    <w:name w:val="Hyperlink"/>
    <w:uiPriority w:val="99"/>
    <w:unhideWhenUsed/>
    <w:rPr>
      <w:color w:val="0000ff" w:themeColor="hyperlink"/>
      <w:u w:val="single"/>
    </w:rPr>
  </w:style>
  <w:style w:type="paragraph" w:styleId="841">
    <w:name w:val="footnote text"/>
    <w:basedOn w:val="858"/>
    <w:link w:val="842"/>
    <w:uiPriority w:val="99"/>
    <w:semiHidden/>
    <w:unhideWhenUsed/>
    <w:pPr>
      <w:spacing w:after="40" w:line="240" w:lineRule="auto"/>
    </w:pPr>
    <w:rPr>
      <w:sz w:val="18"/>
    </w:rPr>
  </w:style>
  <w:style w:type="character" w:styleId="842">
    <w:name w:val="Footnote Text Char"/>
    <w:link w:val="841"/>
    <w:uiPriority w:val="99"/>
    <w:rPr>
      <w:sz w:val="18"/>
    </w:rPr>
  </w:style>
  <w:style w:type="character" w:styleId="843">
    <w:name w:val="footnote reference"/>
    <w:uiPriority w:val="99"/>
    <w:unhideWhenUsed/>
    <w:rPr>
      <w:vertAlign w:val="superscript"/>
    </w:rPr>
  </w:style>
  <w:style w:type="paragraph" w:styleId="844">
    <w:name w:val="endnote text"/>
    <w:basedOn w:val="858"/>
    <w:link w:val="845"/>
    <w:uiPriority w:val="99"/>
    <w:semiHidden/>
    <w:unhideWhenUsed/>
    <w:pPr>
      <w:spacing w:after="0" w:line="240" w:lineRule="auto"/>
    </w:pPr>
    <w:rPr>
      <w:sz w:val="20"/>
    </w:rPr>
  </w:style>
  <w:style w:type="character" w:styleId="845">
    <w:name w:val="Endnote Text Char"/>
    <w:link w:val="844"/>
    <w:uiPriority w:val="99"/>
    <w:rPr>
      <w:sz w:val="20"/>
    </w:rPr>
  </w:style>
  <w:style w:type="character" w:styleId="846">
    <w:name w:val="endnote reference"/>
    <w:uiPriority w:val="99"/>
    <w:semiHidden/>
    <w:unhideWhenUsed/>
    <w:rPr>
      <w:vertAlign w:val="superscript"/>
    </w:rPr>
  </w:style>
  <w:style w:type="paragraph" w:styleId="847">
    <w:name w:val="toc 1"/>
    <w:basedOn w:val="858"/>
    <w:next w:val="858"/>
    <w:uiPriority w:val="39"/>
    <w:unhideWhenUsed/>
    <w:pPr>
      <w:ind w:left="0" w:right="0" w:firstLine="0"/>
      <w:spacing w:after="57"/>
    </w:pPr>
  </w:style>
  <w:style w:type="paragraph" w:styleId="848">
    <w:name w:val="toc 2"/>
    <w:basedOn w:val="858"/>
    <w:next w:val="858"/>
    <w:uiPriority w:val="39"/>
    <w:unhideWhenUsed/>
    <w:pPr>
      <w:ind w:left="283" w:right="0" w:firstLine="0"/>
      <w:spacing w:after="57"/>
    </w:pPr>
  </w:style>
  <w:style w:type="paragraph" w:styleId="849">
    <w:name w:val="toc 3"/>
    <w:basedOn w:val="858"/>
    <w:next w:val="858"/>
    <w:uiPriority w:val="39"/>
    <w:unhideWhenUsed/>
    <w:pPr>
      <w:ind w:left="567" w:right="0" w:firstLine="0"/>
      <w:spacing w:after="57"/>
    </w:pPr>
  </w:style>
  <w:style w:type="paragraph" w:styleId="850">
    <w:name w:val="toc 4"/>
    <w:basedOn w:val="858"/>
    <w:next w:val="858"/>
    <w:uiPriority w:val="39"/>
    <w:unhideWhenUsed/>
    <w:pPr>
      <w:ind w:left="850" w:right="0" w:firstLine="0"/>
      <w:spacing w:after="57"/>
    </w:pPr>
  </w:style>
  <w:style w:type="paragraph" w:styleId="851">
    <w:name w:val="toc 5"/>
    <w:basedOn w:val="858"/>
    <w:next w:val="858"/>
    <w:uiPriority w:val="39"/>
    <w:unhideWhenUsed/>
    <w:pPr>
      <w:ind w:left="1134" w:right="0" w:firstLine="0"/>
      <w:spacing w:after="57"/>
    </w:pPr>
  </w:style>
  <w:style w:type="paragraph" w:styleId="852">
    <w:name w:val="toc 6"/>
    <w:basedOn w:val="858"/>
    <w:next w:val="858"/>
    <w:uiPriority w:val="39"/>
    <w:unhideWhenUsed/>
    <w:pPr>
      <w:ind w:left="1417" w:right="0" w:firstLine="0"/>
      <w:spacing w:after="57"/>
    </w:pPr>
  </w:style>
  <w:style w:type="paragraph" w:styleId="853">
    <w:name w:val="toc 7"/>
    <w:basedOn w:val="858"/>
    <w:next w:val="858"/>
    <w:uiPriority w:val="39"/>
    <w:unhideWhenUsed/>
    <w:pPr>
      <w:ind w:left="1701" w:right="0" w:firstLine="0"/>
      <w:spacing w:after="57"/>
    </w:pPr>
  </w:style>
  <w:style w:type="paragraph" w:styleId="854">
    <w:name w:val="toc 8"/>
    <w:basedOn w:val="858"/>
    <w:next w:val="858"/>
    <w:uiPriority w:val="39"/>
    <w:unhideWhenUsed/>
    <w:pPr>
      <w:ind w:left="1984" w:right="0" w:firstLine="0"/>
      <w:spacing w:after="57"/>
    </w:pPr>
  </w:style>
  <w:style w:type="paragraph" w:styleId="855">
    <w:name w:val="toc 9"/>
    <w:basedOn w:val="858"/>
    <w:next w:val="858"/>
    <w:uiPriority w:val="39"/>
    <w:unhideWhenUsed/>
    <w:pPr>
      <w:ind w:left="2268" w:right="0" w:firstLine="0"/>
      <w:spacing w:after="57"/>
    </w:pPr>
  </w:style>
  <w:style w:type="paragraph" w:styleId="856">
    <w:name w:val="TOC Heading"/>
    <w:uiPriority w:val="39"/>
    <w:unhideWhenUsed/>
  </w:style>
  <w:style w:type="paragraph" w:styleId="857">
    <w:name w:val="table of figures"/>
    <w:basedOn w:val="858"/>
    <w:next w:val="858"/>
    <w:uiPriority w:val="99"/>
    <w:unhideWhenUsed/>
    <w:pPr>
      <w:spacing w:after="0" w:afterAutospacing="0"/>
    </w:pPr>
  </w:style>
  <w:style w:type="paragraph" w:styleId="858" w:default="1">
    <w:name w:val="Normal"/>
    <w:next w:val="858"/>
    <w:link w:val="858"/>
    <w:qFormat/>
    <w:pPr>
      <w:widowControl w:val="off"/>
    </w:pPr>
    <w:rPr>
      <w:lang w:val="ru-RU" w:eastAsia="ru-RU" w:bidi="ar-SA"/>
    </w:rPr>
  </w:style>
  <w:style w:type="paragraph" w:styleId="859">
    <w:name w:val="Заголовок 1"/>
    <w:basedOn w:val="858"/>
    <w:next w:val="858"/>
    <w:link w:val="868"/>
    <w:qFormat/>
    <w:pPr>
      <w:ind w:left="5580" w:right="-257"/>
      <w:jc w:val="both"/>
      <w:keepNext/>
      <w:widowControl/>
      <w:outlineLvl w:val="0"/>
    </w:pPr>
    <w:rPr>
      <w:sz w:val="24"/>
      <w:szCs w:val="24"/>
      <w:lang w:val="en-US" w:eastAsia="en-US"/>
    </w:rPr>
  </w:style>
  <w:style w:type="paragraph" w:styleId="860">
    <w:name w:val="Заголовок 9"/>
    <w:basedOn w:val="858"/>
    <w:next w:val="858"/>
    <w:link w:val="869"/>
    <w:unhideWhenUsed/>
    <w:qFormat/>
    <w:pPr>
      <w:spacing w:before="240" w:after="60"/>
      <w:outlineLvl w:val="8"/>
    </w:pPr>
    <w:rPr>
      <w:rFonts w:ascii="Calibri Light" w:hAnsi="Calibri Light"/>
      <w:sz w:val="22"/>
      <w:szCs w:val="22"/>
      <w:lang w:val="en-US" w:eastAsia="en-US"/>
    </w:rPr>
  </w:style>
  <w:style w:type="character" w:styleId="861">
    <w:name w:val="Основной шрифт абзаца"/>
    <w:next w:val="861"/>
    <w:link w:val="858"/>
    <w:uiPriority w:val="1"/>
    <w:semiHidden/>
    <w:unhideWhenUsed/>
  </w:style>
  <w:style w:type="table" w:styleId="862">
    <w:name w:val="Обычная таблица"/>
    <w:next w:val="862"/>
    <w:link w:val="858"/>
    <w:uiPriority w:val="99"/>
    <w:semiHidden/>
    <w:unhideWhenUsed/>
    <w:tblPr/>
  </w:style>
  <w:style w:type="numbering" w:styleId="863">
    <w:name w:val="Нет списка"/>
    <w:next w:val="863"/>
    <w:link w:val="858"/>
    <w:uiPriority w:val="99"/>
    <w:semiHidden/>
    <w:unhideWhenUsed/>
  </w:style>
  <w:style w:type="paragraph" w:styleId="864">
    <w:name w:val="Верхний колонтитул"/>
    <w:basedOn w:val="858"/>
    <w:next w:val="864"/>
    <w:link w:val="858"/>
    <w:pPr>
      <w:widowControl/>
      <w:tabs>
        <w:tab w:val="center" w:pos="4677" w:leader="none"/>
        <w:tab w:val="right" w:pos="9355" w:leader="none"/>
      </w:tabs>
    </w:pPr>
  </w:style>
  <w:style w:type="character" w:styleId="865">
    <w:name w:val="Номер страницы"/>
    <w:basedOn w:val="861"/>
    <w:next w:val="865"/>
    <w:link w:val="858"/>
  </w:style>
  <w:style w:type="paragraph" w:styleId="866">
    <w:name w:val="Текст выноски"/>
    <w:basedOn w:val="858"/>
    <w:next w:val="866"/>
    <w:link w:val="858"/>
    <w:semiHidden/>
    <w:rPr>
      <w:rFonts w:ascii="Tahoma" w:hAnsi="Tahoma" w:cs="Tahoma"/>
      <w:sz w:val="16"/>
      <w:szCs w:val="16"/>
    </w:rPr>
  </w:style>
  <w:style w:type="paragraph" w:styleId="867">
    <w:name w:val="Схема документа"/>
    <w:basedOn w:val="858"/>
    <w:next w:val="867"/>
    <w:link w:val="858"/>
    <w:semiHidden/>
    <w:pPr>
      <w:shd w:val="clear" w:color="auto" w:fill="000080"/>
    </w:pPr>
    <w:rPr>
      <w:rFonts w:ascii="Tahoma" w:hAnsi="Tahoma" w:cs="Tahoma"/>
    </w:rPr>
  </w:style>
  <w:style w:type="character" w:styleId="868">
    <w:name w:val="Заголовок 1 Знак"/>
    <w:next w:val="868"/>
    <w:link w:val="859"/>
    <w:rPr>
      <w:sz w:val="24"/>
      <w:szCs w:val="24"/>
    </w:rPr>
  </w:style>
  <w:style w:type="character" w:styleId="869">
    <w:name w:val="Заголовок 9 Знак"/>
    <w:next w:val="869"/>
    <w:link w:val="860"/>
    <w:rPr>
      <w:rFonts w:ascii="Calibri Light" w:hAnsi="Calibri Light" w:eastAsia="Times New Roman" w:cs="Times New Roman"/>
      <w:sz w:val="22"/>
      <w:szCs w:val="22"/>
    </w:rPr>
  </w:style>
  <w:style w:type="paragraph" w:styleId="870">
    <w:name w:val="ConsPlusCell"/>
    <w:next w:val="870"/>
    <w:link w:val="858"/>
    <w:uiPriority w:val="99"/>
    <w:rPr>
      <w:sz w:val="24"/>
      <w:szCs w:val="24"/>
      <w:lang w:val="ru-RU" w:eastAsia="ru-RU" w:bidi="ar-SA"/>
    </w:rPr>
  </w:style>
  <w:style w:type="table" w:styleId="871">
    <w:name w:val="Сетка таблицы"/>
    <w:basedOn w:val="862"/>
    <w:next w:val="871"/>
    <w:link w:val="858"/>
    <w:tblPr/>
  </w:style>
  <w:style w:type="character" w:styleId="872" w:default="1">
    <w:name w:val="Default Paragraph Font"/>
    <w:uiPriority w:val="1"/>
    <w:semiHidden/>
    <w:unhideWhenUsed/>
  </w:style>
  <w:style w:type="numbering" w:styleId="873" w:default="1">
    <w:name w:val="No List"/>
    <w:uiPriority w:val="99"/>
    <w:semiHidden/>
    <w:unhideWhenUsed/>
  </w:style>
  <w:style w:type="table" w:styleId="87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MOFOMS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nikitina</dc:creator>
  <cp:lastModifiedBy>larina_nv</cp:lastModifiedBy>
  <cp:revision>97</cp:revision>
  <dcterms:created xsi:type="dcterms:W3CDTF">2019-11-12T14:00:00Z</dcterms:created>
  <dcterms:modified xsi:type="dcterms:W3CDTF">2025-05-13T08:47:25Z</dcterms:modified>
  <cp:version>1048576</cp:version>
</cp:coreProperties>
</file>